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10" w:rsidRDefault="00723219" w:rsidP="004B490A">
      <w:pPr>
        <w:jc w:val="right"/>
      </w:pPr>
      <w:r>
        <w:rPr>
          <w:noProof/>
          <w:lang w:eastAsia="de-CH"/>
        </w:rPr>
        <w:drawing>
          <wp:inline distT="0" distB="0" distL="0" distR="0">
            <wp:extent cx="3269975" cy="46425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_plus_logo_rg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894" cy="464101"/>
                    </a:xfrm>
                    <a:prstGeom prst="rect">
                      <a:avLst/>
                    </a:prstGeom>
                  </pic:spPr>
                </pic:pic>
              </a:graphicData>
            </a:graphic>
          </wp:inline>
        </w:drawing>
      </w:r>
    </w:p>
    <w:p w:rsidR="00F54310" w:rsidRPr="00F54310" w:rsidRDefault="00F54310" w:rsidP="001F06D5">
      <w:pPr>
        <w:jc w:val="both"/>
      </w:pPr>
    </w:p>
    <w:p w:rsidR="00B7582B" w:rsidRPr="0017673B" w:rsidRDefault="008C0624" w:rsidP="00926B95">
      <w:pPr>
        <w:pBdr>
          <w:bottom w:val="single" w:sz="4" w:space="1" w:color="auto"/>
        </w:pBdr>
        <w:jc w:val="both"/>
        <w:rPr>
          <w:rFonts w:ascii="Verdana" w:hAnsi="Verdana"/>
          <w:sz w:val="32"/>
          <w:szCs w:val="32"/>
        </w:rPr>
      </w:pPr>
      <w:r w:rsidRPr="0017673B">
        <w:rPr>
          <w:rFonts w:ascii="Verdana" w:hAnsi="Verdana" w:cs="Arial"/>
          <w:b/>
          <w:sz w:val="32"/>
          <w:szCs w:val="32"/>
        </w:rPr>
        <w:t>Zustimmungsbedürftige Geschäfte</w:t>
      </w:r>
    </w:p>
    <w:p w:rsidR="00B7582B" w:rsidRPr="00B7582B" w:rsidRDefault="00B7582B" w:rsidP="001F06D5">
      <w:pPr>
        <w:spacing w:line="240" w:lineRule="auto"/>
        <w:jc w:val="both"/>
        <w:rPr>
          <w:rFonts w:ascii="Verdana" w:hAnsi="Verdana"/>
          <w:sz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Grundsatz</w:t>
      </w:r>
    </w:p>
    <w:p w:rsidR="00B7582B" w:rsidRPr="008C0624" w:rsidRDefault="008C0624" w:rsidP="001F06D5">
      <w:pPr>
        <w:autoSpaceDE w:val="0"/>
        <w:autoSpaceDN w:val="0"/>
        <w:adjustRightInd w:val="0"/>
        <w:spacing w:after="0" w:line="312" w:lineRule="auto"/>
        <w:jc w:val="both"/>
        <w:rPr>
          <w:rFonts w:ascii="Verdana" w:hAnsi="Verdana" w:cs="Arial"/>
          <w:sz w:val="20"/>
          <w:szCs w:val="20"/>
        </w:rPr>
      </w:pPr>
      <w:r w:rsidRPr="008C0624">
        <w:rPr>
          <w:rFonts w:ascii="Verdana" w:hAnsi="Verdana" w:cs="Arial"/>
          <w:sz w:val="20"/>
          <w:szCs w:val="20"/>
        </w:rPr>
        <w:t>Das Erwachsenenschutzrecht sieht in Art. 416 ZGB einen Katalog von Rechtsgeschäften vor, welche nicht vom Beistand alleine abgeschlossen werden können. Die KESB kann gemäss Art. 417 ZGB verfügen, dass ihr aus wichtigen Gründen weitere Geschäfte zur Genehmigung unterbreitet werden.</w:t>
      </w:r>
    </w:p>
    <w:p w:rsidR="008C0624" w:rsidRPr="008C0624" w:rsidRDefault="008C0624" w:rsidP="001F06D5">
      <w:pPr>
        <w:autoSpaceDE w:val="0"/>
        <w:autoSpaceDN w:val="0"/>
        <w:adjustRightInd w:val="0"/>
        <w:spacing w:after="0"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sz w:val="20"/>
          <w:szCs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Prinzip des eigenen Handelns der verbeiständeten Person</w:t>
      </w:r>
    </w:p>
    <w:p w:rsidR="00F54310" w:rsidRPr="008C0624" w:rsidRDefault="008C0624" w:rsidP="001F06D5">
      <w:pPr>
        <w:autoSpaceDE w:val="0"/>
        <w:autoSpaceDN w:val="0"/>
        <w:adjustRightInd w:val="0"/>
        <w:spacing w:after="0" w:line="312" w:lineRule="auto"/>
        <w:jc w:val="both"/>
        <w:rPr>
          <w:rFonts w:ascii="Verdana" w:hAnsi="Verdana" w:cs="Arial"/>
          <w:sz w:val="20"/>
          <w:szCs w:val="20"/>
        </w:rPr>
      </w:pPr>
      <w:r w:rsidRPr="008C0624">
        <w:rPr>
          <w:rFonts w:ascii="Verdana" w:hAnsi="Verdana" w:cs="Arial"/>
          <w:sz w:val="20"/>
          <w:szCs w:val="20"/>
        </w:rPr>
        <w:t>Ist die betroffene Person urteilsfähig und wurde ihr nicht im entsprechenden Bereich oder sogar</w:t>
      </w:r>
      <w:r>
        <w:rPr>
          <w:rFonts w:ascii="Verdana" w:hAnsi="Verdana" w:cs="Arial"/>
          <w:sz w:val="20"/>
          <w:szCs w:val="20"/>
        </w:rPr>
        <w:t xml:space="preserve"> </w:t>
      </w:r>
      <w:r w:rsidRPr="008C0624">
        <w:rPr>
          <w:rFonts w:ascii="Verdana" w:hAnsi="Verdana" w:cs="Arial"/>
          <w:sz w:val="20"/>
          <w:szCs w:val="20"/>
        </w:rPr>
        <w:t>umfassend die Handlungsfähigkeit entzogen, so kann sie alle Rechtsgeschäfte, auch die in Art.</w:t>
      </w:r>
      <w:r>
        <w:rPr>
          <w:rFonts w:ascii="Verdana" w:hAnsi="Verdana" w:cs="Arial"/>
          <w:sz w:val="20"/>
          <w:szCs w:val="20"/>
        </w:rPr>
        <w:t xml:space="preserve"> </w:t>
      </w:r>
      <w:r w:rsidRPr="008C0624">
        <w:rPr>
          <w:rFonts w:ascii="Verdana" w:hAnsi="Verdana" w:cs="Arial"/>
          <w:sz w:val="20"/>
          <w:szCs w:val="20"/>
        </w:rPr>
        <w:t>416 ZGB erwähnten oder die gemäss Art. 417 ZGB von der KESB zusätzlich bezeichneten,</w:t>
      </w:r>
      <w:r>
        <w:rPr>
          <w:rFonts w:ascii="Verdana" w:hAnsi="Verdana" w:cs="Arial"/>
          <w:sz w:val="20"/>
          <w:szCs w:val="20"/>
        </w:rPr>
        <w:t xml:space="preserve"> </w:t>
      </w:r>
      <w:r w:rsidRPr="008C0624">
        <w:rPr>
          <w:rFonts w:ascii="Verdana" w:hAnsi="Verdana" w:cs="Arial"/>
          <w:sz w:val="20"/>
          <w:szCs w:val="20"/>
        </w:rPr>
        <w:t>selbständig abschliessen.</w:t>
      </w:r>
    </w:p>
    <w:p w:rsidR="008C0624" w:rsidRPr="008C0624" w:rsidRDefault="008C0624" w:rsidP="001F06D5">
      <w:pPr>
        <w:spacing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Prinzip der Zustimmungsbedürftigkeit</w:t>
      </w:r>
    </w:p>
    <w:p w:rsidR="008C0624" w:rsidRDefault="008C0624" w:rsidP="001F06D5">
      <w:pPr>
        <w:autoSpaceDE w:val="0"/>
        <w:autoSpaceDN w:val="0"/>
        <w:adjustRightInd w:val="0"/>
        <w:spacing w:after="0" w:line="312" w:lineRule="auto"/>
        <w:jc w:val="both"/>
        <w:rPr>
          <w:rFonts w:ascii="Verdana" w:hAnsi="Verdana" w:cs="Arial"/>
          <w:sz w:val="20"/>
          <w:szCs w:val="20"/>
        </w:rPr>
      </w:pPr>
      <w:r w:rsidRPr="008C0624">
        <w:rPr>
          <w:rFonts w:ascii="Verdana" w:hAnsi="Verdana" w:cs="Arial"/>
          <w:sz w:val="20"/>
          <w:szCs w:val="20"/>
        </w:rPr>
        <w:t>Wenn der Beistand/die Beiständin im Namen der verbeiständeten Person ein Rechtsgeschäft</w:t>
      </w:r>
      <w:r>
        <w:rPr>
          <w:rFonts w:ascii="Verdana" w:hAnsi="Verdana" w:cs="Arial"/>
          <w:sz w:val="20"/>
          <w:szCs w:val="20"/>
        </w:rPr>
        <w:t xml:space="preserve"> </w:t>
      </w:r>
      <w:r w:rsidRPr="008C0624">
        <w:rPr>
          <w:rFonts w:ascii="Verdana" w:hAnsi="Verdana" w:cs="Arial"/>
          <w:sz w:val="20"/>
          <w:szCs w:val="20"/>
        </w:rPr>
        <w:t>abschliesst, das in Art. 416 ZGB erwähnt oder von der KESB gestützt auf Art. 417 ZGB zusätzlich</w:t>
      </w:r>
      <w:r>
        <w:rPr>
          <w:rFonts w:ascii="Verdana" w:hAnsi="Verdana" w:cs="Arial"/>
          <w:sz w:val="20"/>
          <w:szCs w:val="20"/>
        </w:rPr>
        <w:t xml:space="preserve"> </w:t>
      </w:r>
      <w:r w:rsidRPr="008C0624">
        <w:rPr>
          <w:rFonts w:ascii="Verdana" w:hAnsi="Verdana" w:cs="Arial"/>
          <w:sz w:val="20"/>
          <w:szCs w:val="20"/>
        </w:rPr>
        <w:t>bestimmt worden ist, bedarf er/sie der Zustimmung.</w:t>
      </w:r>
    </w:p>
    <w:p w:rsidR="008C0624" w:rsidRPr="008C0624" w:rsidRDefault="008C0624" w:rsidP="001F06D5">
      <w:pPr>
        <w:autoSpaceDE w:val="0"/>
        <w:autoSpaceDN w:val="0"/>
        <w:adjustRightInd w:val="0"/>
        <w:spacing w:after="0"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cs="Arial"/>
          <w:sz w:val="20"/>
          <w:szCs w:val="20"/>
        </w:rPr>
      </w:pPr>
      <w:r w:rsidRPr="008C0624">
        <w:rPr>
          <w:rFonts w:ascii="Verdana" w:hAnsi="Verdana" w:cs="Arial"/>
          <w:sz w:val="20"/>
          <w:szCs w:val="20"/>
        </w:rPr>
        <w:t>Diese Zustimmung kann der Beistand/die Beiständin auf zwei Arten erlangen:</w:t>
      </w:r>
    </w:p>
    <w:p w:rsidR="008C0624" w:rsidRPr="008C0624" w:rsidRDefault="008C0624" w:rsidP="001F06D5">
      <w:pPr>
        <w:autoSpaceDE w:val="0"/>
        <w:autoSpaceDN w:val="0"/>
        <w:adjustRightInd w:val="0"/>
        <w:spacing w:after="0" w:line="312" w:lineRule="auto"/>
        <w:ind w:left="284" w:hanging="284"/>
        <w:jc w:val="both"/>
        <w:rPr>
          <w:rFonts w:ascii="Verdana" w:hAnsi="Verdana" w:cs="Arial"/>
          <w:sz w:val="20"/>
          <w:szCs w:val="20"/>
        </w:rPr>
      </w:pPr>
      <w:r w:rsidRPr="008C0624">
        <w:rPr>
          <w:rFonts w:ascii="Verdana" w:hAnsi="Verdana" w:cs="Arial"/>
          <w:sz w:val="20"/>
          <w:szCs w:val="20"/>
        </w:rPr>
        <w:t>a) Durch die verbeiständete Person, wenn sie urteilsfähig ist ihr die Handlungsfähigkeit im</w:t>
      </w:r>
      <w:r>
        <w:rPr>
          <w:rFonts w:ascii="Verdana" w:hAnsi="Verdana" w:cs="Arial"/>
          <w:sz w:val="20"/>
          <w:szCs w:val="20"/>
        </w:rPr>
        <w:t xml:space="preserve"> </w:t>
      </w:r>
      <w:r w:rsidRPr="008C0624">
        <w:rPr>
          <w:rFonts w:ascii="Verdana" w:hAnsi="Verdana" w:cs="Arial"/>
          <w:sz w:val="20"/>
          <w:szCs w:val="20"/>
        </w:rPr>
        <w:t>fraglichen Bereich oder umfassend nicht entzogen worden ist,</w:t>
      </w:r>
    </w:p>
    <w:p w:rsidR="008C0624" w:rsidRPr="008C0624" w:rsidRDefault="008C0624" w:rsidP="001F06D5">
      <w:pPr>
        <w:autoSpaceDE w:val="0"/>
        <w:autoSpaceDN w:val="0"/>
        <w:adjustRightInd w:val="0"/>
        <w:spacing w:after="0" w:line="312" w:lineRule="auto"/>
        <w:ind w:left="284" w:hanging="284"/>
        <w:jc w:val="both"/>
        <w:rPr>
          <w:rFonts w:ascii="Verdana" w:hAnsi="Verdana" w:cs="Arial"/>
          <w:sz w:val="20"/>
          <w:szCs w:val="20"/>
        </w:rPr>
      </w:pPr>
      <w:r w:rsidRPr="008C0624">
        <w:rPr>
          <w:rFonts w:ascii="Verdana" w:hAnsi="Verdana" w:cs="Arial"/>
          <w:sz w:val="20"/>
          <w:szCs w:val="20"/>
        </w:rPr>
        <w:t>b) Durch die KESB, wenn die verbeiständete Person die Zustimmung nicht erteilen kann oder</w:t>
      </w:r>
      <w:r>
        <w:rPr>
          <w:rFonts w:ascii="Verdana" w:hAnsi="Verdana" w:cs="Arial"/>
          <w:sz w:val="20"/>
          <w:szCs w:val="20"/>
        </w:rPr>
        <w:t xml:space="preserve"> </w:t>
      </w:r>
      <w:r w:rsidRPr="008C0624">
        <w:rPr>
          <w:rFonts w:ascii="Verdana" w:hAnsi="Verdana" w:cs="Arial"/>
          <w:sz w:val="20"/>
          <w:szCs w:val="20"/>
        </w:rPr>
        <w:t>nicht erteilen will.</w:t>
      </w:r>
    </w:p>
    <w:p w:rsidR="008C0624" w:rsidRPr="008C0624" w:rsidRDefault="008C0624" w:rsidP="001F06D5">
      <w:pPr>
        <w:spacing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Zwingende Zustimmung der KESB</w:t>
      </w:r>
    </w:p>
    <w:p w:rsidR="008C0624" w:rsidRPr="008C0624" w:rsidRDefault="008C0624" w:rsidP="001F06D5">
      <w:pPr>
        <w:autoSpaceDE w:val="0"/>
        <w:autoSpaceDN w:val="0"/>
        <w:adjustRightInd w:val="0"/>
        <w:spacing w:after="0" w:line="312" w:lineRule="auto"/>
        <w:jc w:val="both"/>
        <w:rPr>
          <w:rFonts w:ascii="Verdana" w:hAnsi="Verdana" w:cs="Arial"/>
          <w:sz w:val="20"/>
          <w:szCs w:val="20"/>
        </w:rPr>
      </w:pPr>
      <w:r w:rsidRPr="008C0624">
        <w:rPr>
          <w:rFonts w:ascii="Verdana" w:hAnsi="Verdana" w:cs="Arial"/>
          <w:sz w:val="20"/>
          <w:szCs w:val="20"/>
        </w:rPr>
        <w:t>Für Rechtsgeschäfte zwischen dem Beistand/der Beiständin und der verbeiständeten Person ist</w:t>
      </w:r>
      <w:r>
        <w:rPr>
          <w:rFonts w:ascii="Verdana" w:hAnsi="Verdana" w:cs="Arial"/>
          <w:sz w:val="20"/>
          <w:szCs w:val="20"/>
        </w:rPr>
        <w:t xml:space="preserve"> </w:t>
      </w:r>
      <w:r w:rsidRPr="008C0624">
        <w:rPr>
          <w:rFonts w:ascii="Verdana" w:hAnsi="Verdana" w:cs="Arial"/>
          <w:sz w:val="20"/>
          <w:szCs w:val="20"/>
        </w:rPr>
        <w:t>immer die Zustimmung der KESB nötig, und zwar auch dann, wenn die verbeiständete Person</w:t>
      </w:r>
      <w:r>
        <w:rPr>
          <w:rFonts w:ascii="Verdana" w:hAnsi="Verdana" w:cs="Arial"/>
          <w:sz w:val="20"/>
          <w:szCs w:val="20"/>
        </w:rPr>
        <w:t xml:space="preserve"> </w:t>
      </w:r>
      <w:r w:rsidRPr="008C0624">
        <w:rPr>
          <w:rFonts w:ascii="Verdana" w:hAnsi="Verdana" w:cs="Arial"/>
          <w:sz w:val="20"/>
          <w:szCs w:val="20"/>
        </w:rPr>
        <w:t>urteils- und voll handlungsfähig ist (Art. 416 Abs. 3 ZGB). Ausgenommen sind unentgeltliche</w:t>
      </w:r>
      <w:r>
        <w:rPr>
          <w:rFonts w:ascii="Verdana" w:hAnsi="Verdana" w:cs="Arial"/>
          <w:sz w:val="20"/>
          <w:szCs w:val="20"/>
        </w:rPr>
        <w:t xml:space="preserve"> </w:t>
      </w:r>
      <w:r w:rsidRPr="008C0624">
        <w:rPr>
          <w:rFonts w:ascii="Verdana" w:hAnsi="Verdana" w:cs="Arial"/>
          <w:sz w:val="20"/>
          <w:szCs w:val="20"/>
        </w:rPr>
        <w:t>Aufträge.</w:t>
      </w:r>
    </w:p>
    <w:p w:rsidR="008C0624" w:rsidRPr="008C0624" w:rsidRDefault="008C0624" w:rsidP="001F06D5">
      <w:pPr>
        <w:spacing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Zustimmung gem. Verordnung über die Vermögensverwaltung im Rahmen einer</w:t>
      </w: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Beistandschaft oder Vormundschaft (VBVV)</w:t>
      </w:r>
    </w:p>
    <w:p w:rsidR="008C0624" w:rsidRPr="008C0624" w:rsidRDefault="008C0624" w:rsidP="001F06D5">
      <w:pPr>
        <w:autoSpaceDE w:val="0"/>
        <w:autoSpaceDN w:val="0"/>
        <w:adjustRightInd w:val="0"/>
        <w:spacing w:after="0" w:line="312" w:lineRule="auto"/>
        <w:jc w:val="both"/>
        <w:rPr>
          <w:rFonts w:ascii="Verdana" w:hAnsi="Verdana" w:cs="Arial"/>
          <w:sz w:val="20"/>
          <w:szCs w:val="20"/>
        </w:rPr>
      </w:pPr>
      <w:r w:rsidRPr="008C0624">
        <w:rPr>
          <w:rFonts w:ascii="Verdana" w:hAnsi="Verdana" w:cs="Arial"/>
          <w:sz w:val="20"/>
          <w:szCs w:val="20"/>
        </w:rPr>
        <w:t>Bei der Vermögensverwaltung muss allenfalls die Zustimmung der Erwachsenenschutzbehörde</w:t>
      </w:r>
      <w:r>
        <w:rPr>
          <w:rFonts w:ascii="Verdana" w:hAnsi="Verdana" w:cs="Arial"/>
          <w:sz w:val="20"/>
          <w:szCs w:val="20"/>
        </w:rPr>
        <w:t xml:space="preserve"> </w:t>
      </w:r>
      <w:r w:rsidRPr="008C0624">
        <w:rPr>
          <w:rFonts w:ascii="Verdana" w:hAnsi="Verdana" w:cs="Arial"/>
          <w:sz w:val="20"/>
          <w:szCs w:val="20"/>
        </w:rPr>
        <w:t>eingeholt werden (gem. Art. 4 Abs. 2, 6 Abs. 2, 7 Abs. 2 und 3, 8 Abs. 3 und 9 VBVV).</w:t>
      </w:r>
    </w:p>
    <w:p w:rsidR="008C0624" w:rsidRPr="008C0624" w:rsidRDefault="008C0624" w:rsidP="001F06D5">
      <w:pPr>
        <w:spacing w:line="312" w:lineRule="auto"/>
        <w:jc w:val="both"/>
        <w:rPr>
          <w:rFonts w:ascii="Verdana" w:hAnsi="Verdana" w:cs="Arial"/>
          <w:sz w:val="20"/>
          <w:szCs w:val="20"/>
        </w:rPr>
      </w:pPr>
    </w:p>
    <w:p w:rsidR="00426E39" w:rsidRDefault="00426E39" w:rsidP="001F06D5">
      <w:pPr>
        <w:autoSpaceDE w:val="0"/>
        <w:autoSpaceDN w:val="0"/>
        <w:adjustRightInd w:val="0"/>
        <w:spacing w:after="0" w:line="312" w:lineRule="auto"/>
        <w:jc w:val="both"/>
        <w:rPr>
          <w:rFonts w:ascii="Verdana" w:hAnsi="Verdana" w:cs="Arial"/>
          <w:b/>
          <w:bCs/>
          <w:sz w:val="20"/>
          <w:szCs w:val="20"/>
        </w:rPr>
      </w:pPr>
    </w:p>
    <w:p w:rsidR="00426E39" w:rsidRDefault="00426E39" w:rsidP="001F06D5">
      <w:pPr>
        <w:autoSpaceDE w:val="0"/>
        <w:autoSpaceDN w:val="0"/>
        <w:adjustRightInd w:val="0"/>
        <w:spacing w:after="0" w:line="312" w:lineRule="auto"/>
        <w:jc w:val="both"/>
        <w:rPr>
          <w:rFonts w:ascii="Verdana" w:hAnsi="Verdana" w:cs="Arial"/>
          <w:b/>
          <w:bCs/>
          <w:sz w:val="20"/>
          <w:szCs w:val="20"/>
        </w:rPr>
      </w:pPr>
    </w:p>
    <w:p w:rsidR="008C0624" w:rsidRDefault="008C0624" w:rsidP="001F06D5">
      <w:pPr>
        <w:autoSpaceDE w:val="0"/>
        <w:autoSpaceDN w:val="0"/>
        <w:adjustRightInd w:val="0"/>
        <w:spacing w:after="0" w:line="312" w:lineRule="auto"/>
        <w:jc w:val="both"/>
        <w:rPr>
          <w:rFonts w:ascii="Verdana" w:hAnsi="Verdana" w:cs="Arial"/>
          <w:b/>
          <w:bCs/>
          <w:sz w:val="20"/>
          <w:szCs w:val="20"/>
        </w:rPr>
      </w:pPr>
      <w:bookmarkStart w:id="0" w:name="_GoBack"/>
      <w:bookmarkEnd w:id="0"/>
      <w:r w:rsidRPr="008C0624">
        <w:rPr>
          <w:rFonts w:ascii="Verdana" w:hAnsi="Verdana" w:cs="Arial"/>
          <w:b/>
          <w:bCs/>
          <w:sz w:val="20"/>
          <w:szCs w:val="20"/>
        </w:rPr>
        <w:t>Katalog zustimmungsbedürftiger Geschäfte</w:t>
      </w:r>
      <w:r w:rsidR="001F06D5">
        <w:rPr>
          <w:rFonts w:ascii="Verdana" w:hAnsi="Verdana" w:cs="Arial"/>
          <w:b/>
          <w:bCs/>
          <w:sz w:val="20"/>
          <w:szCs w:val="20"/>
        </w:rPr>
        <w:t>:</w:t>
      </w:r>
    </w:p>
    <w:p w:rsidR="001F06D5" w:rsidRPr="008C0624" w:rsidRDefault="001F06D5" w:rsidP="001F06D5">
      <w:pPr>
        <w:autoSpaceDE w:val="0"/>
        <w:autoSpaceDN w:val="0"/>
        <w:adjustRightInd w:val="0"/>
        <w:spacing w:after="0" w:line="312" w:lineRule="auto"/>
        <w:jc w:val="both"/>
        <w:rPr>
          <w:rFonts w:ascii="Verdana" w:hAnsi="Verdana" w:cs="Arial"/>
          <w:b/>
          <w:bCs/>
          <w:sz w:val="20"/>
          <w:szCs w:val="20"/>
        </w:rPr>
      </w:pP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Liquidation des Haushalts</w:t>
      </w:r>
      <w:r w:rsidRPr="001F06D5">
        <w:rPr>
          <w:rFonts w:ascii="Verdana" w:hAnsi="Verdana" w:cs="Arial"/>
          <w:sz w:val="20"/>
          <w:szCs w:val="20"/>
        </w:rPr>
        <w:t xml:space="preserve">, </w:t>
      </w:r>
      <w:r w:rsidRPr="001F06D5">
        <w:rPr>
          <w:rFonts w:ascii="Verdana" w:hAnsi="Verdana" w:cs="Arial"/>
          <w:b/>
          <w:bCs/>
          <w:i/>
          <w:iCs/>
          <w:sz w:val="20"/>
          <w:szCs w:val="20"/>
        </w:rPr>
        <w:t>Kündigung des Vertrags über Räumlichkeiten</w:t>
      </w:r>
      <w:r w:rsidRPr="001F06D5">
        <w:rPr>
          <w:rFonts w:ascii="Verdana" w:hAnsi="Verdana" w:cs="Arial"/>
          <w:sz w:val="20"/>
          <w:szCs w:val="20"/>
        </w:rPr>
        <w:t xml:space="preserve">, in denen die betroffene Person </w:t>
      </w:r>
      <w:r w:rsidRPr="001F06D5">
        <w:rPr>
          <w:rFonts w:ascii="Verdana" w:hAnsi="Verdana" w:cs="Arial"/>
          <w:b/>
          <w:bCs/>
          <w:i/>
          <w:iCs/>
          <w:sz w:val="20"/>
          <w:szCs w:val="20"/>
        </w:rPr>
        <w:t>wohnt</w:t>
      </w:r>
      <w:r w:rsidRPr="001F06D5">
        <w:rPr>
          <w:rFonts w:ascii="Verdana" w:hAnsi="Verdana" w:cs="Arial"/>
          <w:sz w:val="20"/>
          <w:szCs w:val="20"/>
        </w:rPr>
        <w:t>;</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 xml:space="preserve">Dauerverträge über die Unterbringung </w:t>
      </w:r>
      <w:r w:rsidRPr="001F06D5">
        <w:rPr>
          <w:rFonts w:ascii="Verdana" w:hAnsi="Verdana" w:cs="Arial"/>
          <w:sz w:val="20"/>
          <w:szCs w:val="20"/>
        </w:rPr>
        <w:t>der betroffenen Person;</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 xml:space="preserve">Annahme </w:t>
      </w:r>
      <w:r w:rsidRPr="001F06D5">
        <w:rPr>
          <w:rFonts w:ascii="Verdana" w:hAnsi="Verdana" w:cs="Arial"/>
          <w:sz w:val="20"/>
          <w:szCs w:val="20"/>
        </w:rPr>
        <w:t xml:space="preserve">oder </w:t>
      </w:r>
      <w:r w:rsidRPr="001F06D5">
        <w:rPr>
          <w:rFonts w:ascii="Verdana" w:hAnsi="Verdana" w:cs="Arial"/>
          <w:b/>
          <w:bCs/>
          <w:i/>
          <w:iCs/>
          <w:sz w:val="20"/>
          <w:szCs w:val="20"/>
        </w:rPr>
        <w:t>Ausschlagung einer Erbschaft</w:t>
      </w:r>
      <w:r w:rsidRPr="001F06D5">
        <w:rPr>
          <w:rFonts w:ascii="Verdana" w:hAnsi="Verdana" w:cs="Arial"/>
          <w:sz w:val="20"/>
          <w:szCs w:val="20"/>
        </w:rPr>
        <w:t xml:space="preserve">, wenn dafür eine ausdrückliche Erklärung erforderlich ist, sowie </w:t>
      </w:r>
      <w:r w:rsidRPr="001F06D5">
        <w:rPr>
          <w:rFonts w:ascii="Verdana" w:hAnsi="Verdana" w:cs="Arial"/>
          <w:b/>
          <w:bCs/>
          <w:i/>
          <w:iCs/>
          <w:sz w:val="20"/>
          <w:szCs w:val="20"/>
        </w:rPr>
        <w:t xml:space="preserve">Erbverträge </w:t>
      </w:r>
      <w:r w:rsidRPr="001F06D5">
        <w:rPr>
          <w:rFonts w:ascii="Verdana" w:hAnsi="Verdana" w:cs="Arial"/>
          <w:sz w:val="20"/>
          <w:szCs w:val="20"/>
        </w:rPr>
        <w:t xml:space="preserve">und </w:t>
      </w:r>
      <w:r w:rsidRPr="001F06D5">
        <w:rPr>
          <w:rFonts w:ascii="Verdana" w:hAnsi="Verdana" w:cs="Arial"/>
          <w:b/>
          <w:bCs/>
          <w:i/>
          <w:iCs/>
          <w:sz w:val="20"/>
          <w:szCs w:val="20"/>
        </w:rPr>
        <w:t>Erbteilungsverträge</w:t>
      </w:r>
      <w:r w:rsidRPr="001F06D5">
        <w:rPr>
          <w:rFonts w:ascii="Verdana" w:hAnsi="Verdana" w:cs="Arial"/>
          <w:sz w:val="20"/>
          <w:szCs w:val="20"/>
        </w:rPr>
        <w:t>;</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Erwerb</w:t>
      </w:r>
      <w:r w:rsidRPr="001F06D5">
        <w:rPr>
          <w:rFonts w:ascii="Verdana" w:hAnsi="Verdana" w:cs="Arial"/>
          <w:sz w:val="20"/>
          <w:szCs w:val="20"/>
        </w:rPr>
        <w:t xml:space="preserve">, </w:t>
      </w:r>
      <w:r w:rsidRPr="001F06D5">
        <w:rPr>
          <w:rFonts w:ascii="Verdana" w:hAnsi="Verdana" w:cs="Arial"/>
          <w:b/>
          <w:bCs/>
          <w:i/>
          <w:iCs/>
          <w:sz w:val="20"/>
          <w:szCs w:val="20"/>
        </w:rPr>
        <w:t>Veräusserung</w:t>
      </w:r>
      <w:r w:rsidRPr="001F06D5">
        <w:rPr>
          <w:rFonts w:ascii="Verdana" w:hAnsi="Verdana" w:cs="Arial"/>
          <w:sz w:val="20"/>
          <w:szCs w:val="20"/>
        </w:rPr>
        <w:t xml:space="preserve">, </w:t>
      </w:r>
      <w:r w:rsidRPr="001F06D5">
        <w:rPr>
          <w:rFonts w:ascii="Verdana" w:hAnsi="Verdana" w:cs="Arial"/>
          <w:b/>
          <w:bCs/>
          <w:i/>
          <w:iCs/>
          <w:sz w:val="20"/>
          <w:szCs w:val="20"/>
        </w:rPr>
        <w:t xml:space="preserve">Verpfändung </w:t>
      </w:r>
      <w:r w:rsidRPr="001F06D5">
        <w:rPr>
          <w:rFonts w:ascii="Verdana" w:hAnsi="Verdana" w:cs="Arial"/>
          <w:sz w:val="20"/>
          <w:szCs w:val="20"/>
        </w:rPr>
        <w:t xml:space="preserve">und andere </w:t>
      </w:r>
      <w:r w:rsidRPr="001F06D5">
        <w:rPr>
          <w:rFonts w:ascii="Verdana" w:hAnsi="Verdana" w:cs="Arial"/>
          <w:b/>
          <w:bCs/>
          <w:i/>
          <w:iCs/>
          <w:sz w:val="20"/>
          <w:szCs w:val="20"/>
        </w:rPr>
        <w:t xml:space="preserve">dingliche Belastung von Grundstücken </w:t>
      </w:r>
      <w:r w:rsidRPr="001F06D5">
        <w:rPr>
          <w:rFonts w:ascii="Verdana" w:hAnsi="Verdana" w:cs="Arial"/>
          <w:sz w:val="20"/>
          <w:szCs w:val="20"/>
        </w:rPr>
        <w:t xml:space="preserve">sowie Erstellen von Bauten, das </w:t>
      </w:r>
      <w:r w:rsidRPr="001F06D5">
        <w:rPr>
          <w:rFonts w:ascii="Verdana" w:hAnsi="Verdana" w:cs="Arial"/>
          <w:b/>
          <w:bCs/>
          <w:i/>
          <w:iCs/>
          <w:sz w:val="20"/>
          <w:szCs w:val="20"/>
        </w:rPr>
        <w:t xml:space="preserve">über ordentliche Verwaltungshandlungen </w:t>
      </w:r>
      <w:r w:rsidRPr="001F06D5">
        <w:rPr>
          <w:rFonts w:ascii="Verdana" w:hAnsi="Verdana" w:cs="Arial"/>
          <w:sz w:val="20"/>
          <w:szCs w:val="20"/>
        </w:rPr>
        <w:t>hinausgeht;</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Erwerb</w:t>
      </w:r>
      <w:r w:rsidRPr="001F06D5">
        <w:rPr>
          <w:rFonts w:ascii="Verdana" w:hAnsi="Verdana" w:cs="Arial"/>
          <w:sz w:val="20"/>
          <w:szCs w:val="20"/>
        </w:rPr>
        <w:t xml:space="preserve">, </w:t>
      </w:r>
      <w:r w:rsidRPr="001F06D5">
        <w:rPr>
          <w:rFonts w:ascii="Verdana" w:hAnsi="Verdana" w:cs="Arial"/>
          <w:b/>
          <w:bCs/>
          <w:i/>
          <w:iCs/>
          <w:sz w:val="20"/>
          <w:szCs w:val="20"/>
        </w:rPr>
        <w:t xml:space="preserve">Veräusserung </w:t>
      </w:r>
      <w:r w:rsidRPr="001F06D5">
        <w:rPr>
          <w:rFonts w:ascii="Verdana" w:hAnsi="Verdana" w:cs="Arial"/>
          <w:sz w:val="20"/>
          <w:szCs w:val="20"/>
        </w:rPr>
        <w:t xml:space="preserve">und </w:t>
      </w:r>
      <w:r w:rsidRPr="001F06D5">
        <w:rPr>
          <w:rFonts w:ascii="Verdana" w:hAnsi="Verdana" w:cs="Arial"/>
          <w:b/>
          <w:bCs/>
          <w:i/>
          <w:iCs/>
          <w:sz w:val="20"/>
          <w:szCs w:val="20"/>
        </w:rPr>
        <w:t xml:space="preserve">Verpfändung anderer Vermögenswerte </w:t>
      </w:r>
      <w:r w:rsidRPr="001F06D5">
        <w:rPr>
          <w:rFonts w:ascii="Verdana" w:hAnsi="Verdana" w:cs="Arial"/>
          <w:sz w:val="20"/>
          <w:szCs w:val="20"/>
        </w:rPr>
        <w:t xml:space="preserve">sowie Errichtung einer </w:t>
      </w:r>
      <w:r w:rsidRPr="001F06D5">
        <w:rPr>
          <w:rFonts w:ascii="Verdana" w:hAnsi="Verdana" w:cs="Arial"/>
          <w:b/>
          <w:bCs/>
          <w:i/>
          <w:iCs/>
          <w:sz w:val="20"/>
          <w:szCs w:val="20"/>
        </w:rPr>
        <w:t xml:space="preserve">Nutzniessung </w:t>
      </w:r>
      <w:r w:rsidRPr="001F06D5">
        <w:rPr>
          <w:rFonts w:ascii="Verdana" w:hAnsi="Verdana" w:cs="Arial"/>
          <w:sz w:val="20"/>
          <w:szCs w:val="20"/>
        </w:rPr>
        <w:t xml:space="preserve">daran, wenn diese Geschäfte </w:t>
      </w:r>
      <w:r w:rsidRPr="001F06D5">
        <w:rPr>
          <w:rFonts w:ascii="Verdana" w:hAnsi="Verdana" w:cs="Arial"/>
          <w:b/>
          <w:bCs/>
          <w:i/>
          <w:iCs/>
          <w:sz w:val="20"/>
          <w:szCs w:val="20"/>
        </w:rPr>
        <w:t xml:space="preserve">nicht unter die Führung der ordentlichen Verwaltung und Bewirtschaftung </w:t>
      </w:r>
      <w:r w:rsidRPr="001F06D5">
        <w:rPr>
          <w:rFonts w:ascii="Verdana" w:hAnsi="Verdana" w:cs="Arial"/>
          <w:sz w:val="20"/>
          <w:szCs w:val="20"/>
        </w:rPr>
        <w:t>fallen;</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 xml:space="preserve">Aufnahme und Gewährung von </w:t>
      </w:r>
      <w:r w:rsidRPr="001F06D5">
        <w:rPr>
          <w:rFonts w:ascii="Verdana" w:hAnsi="Verdana" w:cs="Arial"/>
          <w:b/>
          <w:bCs/>
          <w:i/>
          <w:iCs/>
          <w:sz w:val="20"/>
          <w:szCs w:val="20"/>
        </w:rPr>
        <w:t xml:space="preserve">erheblichen Darlehen, </w:t>
      </w:r>
      <w:r w:rsidRPr="001F06D5">
        <w:rPr>
          <w:rFonts w:ascii="Verdana" w:hAnsi="Verdana" w:cs="Arial"/>
          <w:sz w:val="20"/>
          <w:szCs w:val="20"/>
        </w:rPr>
        <w:t xml:space="preserve">Eingehung von </w:t>
      </w:r>
      <w:r w:rsidRPr="001F06D5">
        <w:rPr>
          <w:rFonts w:ascii="Verdana" w:hAnsi="Verdana" w:cs="Arial"/>
          <w:b/>
          <w:bCs/>
          <w:i/>
          <w:iCs/>
          <w:sz w:val="20"/>
          <w:szCs w:val="20"/>
        </w:rPr>
        <w:t>wechselrechtlichen Verbindlichkeiten</w:t>
      </w:r>
      <w:r w:rsidRPr="001F06D5">
        <w:rPr>
          <w:rFonts w:ascii="Verdana" w:hAnsi="Verdana" w:cs="Arial"/>
          <w:sz w:val="20"/>
          <w:szCs w:val="20"/>
        </w:rPr>
        <w:t>;</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 xml:space="preserve">Leibrenten- und Verpfründungsverträge </w:t>
      </w:r>
      <w:r w:rsidRPr="001F06D5">
        <w:rPr>
          <w:rFonts w:ascii="Verdana" w:hAnsi="Verdana" w:cs="Arial"/>
          <w:sz w:val="20"/>
          <w:szCs w:val="20"/>
        </w:rPr>
        <w:t xml:space="preserve">sowie </w:t>
      </w:r>
      <w:r w:rsidRPr="001F06D5">
        <w:rPr>
          <w:rFonts w:ascii="Verdana" w:hAnsi="Verdana" w:cs="Arial"/>
          <w:b/>
          <w:bCs/>
          <w:i/>
          <w:iCs/>
          <w:sz w:val="20"/>
          <w:szCs w:val="20"/>
        </w:rPr>
        <w:t>Lebensversicherungen</w:t>
      </w:r>
      <w:r w:rsidRPr="001F06D5">
        <w:rPr>
          <w:rFonts w:ascii="Verdana" w:hAnsi="Verdana" w:cs="Arial"/>
          <w:sz w:val="20"/>
          <w:szCs w:val="20"/>
        </w:rPr>
        <w:t>, soweit diese nicht im Rahmen der beruflichen Vorsorge mit einem Arbeitsvertrag zusammenhängen;</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b/>
          <w:bCs/>
          <w:i/>
          <w:iCs/>
          <w:sz w:val="20"/>
          <w:szCs w:val="20"/>
        </w:rPr>
        <w:t xml:space="preserve">Übernahme </w:t>
      </w:r>
      <w:r w:rsidRPr="001F06D5">
        <w:rPr>
          <w:rFonts w:ascii="Verdana" w:hAnsi="Verdana" w:cs="Arial"/>
          <w:sz w:val="20"/>
          <w:szCs w:val="20"/>
        </w:rPr>
        <w:t xml:space="preserve">oder Liquidation eines Geschäfts, Eintritt in eine </w:t>
      </w:r>
      <w:r w:rsidRPr="001F06D5">
        <w:rPr>
          <w:rFonts w:ascii="Verdana" w:hAnsi="Verdana" w:cs="Arial"/>
          <w:b/>
          <w:bCs/>
          <w:i/>
          <w:iCs/>
          <w:sz w:val="20"/>
          <w:szCs w:val="20"/>
        </w:rPr>
        <w:t xml:space="preserve">Gesellschaft mit persönlicher Haftung </w:t>
      </w:r>
      <w:r w:rsidRPr="001F06D5">
        <w:rPr>
          <w:rFonts w:ascii="Verdana" w:hAnsi="Verdana" w:cs="Arial"/>
          <w:sz w:val="20"/>
          <w:szCs w:val="20"/>
        </w:rPr>
        <w:t xml:space="preserve">oder </w:t>
      </w:r>
      <w:r w:rsidRPr="001F06D5">
        <w:rPr>
          <w:rFonts w:ascii="Verdana" w:hAnsi="Verdana" w:cs="Arial"/>
          <w:b/>
          <w:bCs/>
          <w:i/>
          <w:iCs/>
          <w:sz w:val="20"/>
          <w:szCs w:val="20"/>
        </w:rPr>
        <w:t>erheblicher Kapitalbeteiligung</w:t>
      </w:r>
      <w:r w:rsidRPr="001F06D5">
        <w:rPr>
          <w:rFonts w:ascii="Verdana" w:hAnsi="Verdana" w:cs="Arial"/>
          <w:sz w:val="20"/>
          <w:szCs w:val="20"/>
        </w:rPr>
        <w:t>;</w:t>
      </w:r>
    </w:p>
    <w:p w:rsidR="008C0624" w:rsidRPr="001F06D5" w:rsidRDefault="008C0624" w:rsidP="001F06D5">
      <w:pPr>
        <w:pStyle w:val="Listenabsatz"/>
        <w:numPr>
          <w:ilvl w:val="0"/>
          <w:numId w:val="2"/>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 xml:space="preserve">Erklärung der </w:t>
      </w:r>
      <w:r w:rsidRPr="001F06D5">
        <w:rPr>
          <w:rFonts w:ascii="Verdana" w:hAnsi="Verdana" w:cs="Arial"/>
          <w:b/>
          <w:bCs/>
          <w:i/>
          <w:iCs/>
          <w:sz w:val="20"/>
          <w:szCs w:val="20"/>
        </w:rPr>
        <w:t>Zahlungsunfähigkeit</w:t>
      </w:r>
      <w:r w:rsidRPr="001F06D5">
        <w:rPr>
          <w:rFonts w:ascii="Verdana" w:hAnsi="Verdana" w:cs="Arial"/>
          <w:sz w:val="20"/>
          <w:szCs w:val="20"/>
        </w:rPr>
        <w:t xml:space="preserve">, </w:t>
      </w:r>
      <w:r w:rsidRPr="001F06D5">
        <w:rPr>
          <w:rFonts w:ascii="Verdana" w:hAnsi="Verdana" w:cs="Arial"/>
          <w:b/>
          <w:bCs/>
          <w:i/>
          <w:iCs/>
          <w:sz w:val="20"/>
          <w:szCs w:val="20"/>
        </w:rPr>
        <w:t>Prozessführung</w:t>
      </w:r>
      <w:r w:rsidRPr="001F06D5">
        <w:rPr>
          <w:rFonts w:ascii="Verdana" w:hAnsi="Verdana" w:cs="Arial"/>
          <w:sz w:val="20"/>
          <w:szCs w:val="20"/>
        </w:rPr>
        <w:t xml:space="preserve">, </w:t>
      </w:r>
      <w:r w:rsidRPr="001F06D5">
        <w:rPr>
          <w:rFonts w:ascii="Verdana" w:hAnsi="Verdana" w:cs="Arial"/>
          <w:b/>
          <w:bCs/>
          <w:i/>
          <w:iCs/>
          <w:sz w:val="20"/>
          <w:szCs w:val="20"/>
        </w:rPr>
        <w:t>Abschluss eines Vergleichs</w:t>
      </w:r>
      <w:r w:rsidRPr="001F06D5">
        <w:rPr>
          <w:rFonts w:ascii="Verdana" w:hAnsi="Verdana" w:cs="Arial"/>
          <w:sz w:val="20"/>
          <w:szCs w:val="20"/>
        </w:rPr>
        <w:t xml:space="preserve">, eines </w:t>
      </w:r>
      <w:r w:rsidRPr="001F06D5">
        <w:rPr>
          <w:rFonts w:ascii="Verdana" w:hAnsi="Verdana" w:cs="Arial"/>
          <w:b/>
          <w:bCs/>
          <w:i/>
          <w:iCs/>
          <w:sz w:val="20"/>
          <w:szCs w:val="20"/>
        </w:rPr>
        <w:t xml:space="preserve">Schiedsvertrags </w:t>
      </w:r>
      <w:r w:rsidRPr="001F06D5">
        <w:rPr>
          <w:rFonts w:ascii="Verdana" w:hAnsi="Verdana" w:cs="Arial"/>
          <w:sz w:val="20"/>
          <w:szCs w:val="20"/>
        </w:rPr>
        <w:t xml:space="preserve">oder eines </w:t>
      </w:r>
      <w:r w:rsidRPr="001F06D5">
        <w:rPr>
          <w:rFonts w:ascii="Verdana" w:hAnsi="Verdana" w:cs="Arial"/>
          <w:b/>
          <w:bCs/>
          <w:i/>
          <w:iCs/>
          <w:sz w:val="20"/>
          <w:szCs w:val="20"/>
        </w:rPr>
        <w:t>Nachlassvertrags</w:t>
      </w:r>
      <w:r w:rsidRPr="001F06D5">
        <w:rPr>
          <w:rFonts w:ascii="Verdana" w:hAnsi="Verdana" w:cs="Arial"/>
          <w:sz w:val="20"/>
          <w:szCs w:val="20"/>
        </w:rPr>
        <w:t>, unter Vorbehalt vorläufiger Massnahmen des Beistands oder der Beiständin in dringenden Fällen.</w:t>
      </w:r>
    </w:p>
    <w:p w:rsidR="008C0624" w:rsidRPr="008C0624" w:rsidRDefault="008C0624" w:rsidP="001F06D5">
      <w:pPr>
        <w:spacing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Vorgehen</w:t>
      </w:r>
    </w:p>
    <w:p w:rsidR="008C0624" w:rsidRPr="001F06D5" w:rsidRDefault="008C0624" w:rsidP="001F06D5">
      <w:pPr>
        <w:pStyle w:val="Listenabsatz"/>
        <w:numPr>
          <w:ilvl w:val="0"/>
          <w:numId w:val="4"/>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Zusammenstellen der Entscheidungsgrundlagen.</w:t>
      </w:r>
    </w:p>
    <w:p w:rsidR="008C0624" w:rsidRPr="001F06D5" w:rsidRDefault="008C0624" w:rsidP="001F06D5">
      <w:pPr>
        <w:pStyle w:val="Listenabsatz"/>
        <w:numPr>
          <w:ilvl w:val="0"/>
          <w:numId w:val="4"/>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Besprechung des Geschäftes mit der KESB.</w:t>
      </w:r>
    </w:p>
    <w:p w:rsidR="008C0624" w:rsidRPr="001F06D5" w:rsidRDefault="008C0624" w:rsidP="001F06D5">
      <w:pPr>
        <w:pStyle w:val="Listenabsatz"/>
        <w:numPr>
          <w:ilvl w:val="0"/>
          <w:numId w:val="4"/>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Vorbereiten des Geschäftsabschlusses (z.B. bei Liegenschaftsverkauf Auftrag an Immobilienfirma, Publikationen, Vertragsverhandlungen etc).</w:t>
      </w:r>
    </w:p>
    <w:p w:rsidR="008C0624" w:rsidRPr="001F06D5" w:rsidRDefault="008C0624" w:rsidP="001F06D5">
      <w:pPr>
        <w:pStyle w:val="Listenabsatz"/>
        <w:numPr>
          <w:ilvl w:val="0"/>
          <w:numId w:val="4"/>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Ausarbeitung von Bericht und Antrag und Einreichen sämtlicher Unterlagen (gegebenenfalls mit ausführlicher Dokumentation) an KESB.</w:t>
      </w:r>
    </w:p>
    <w:p w:rsidR="008C0624" w:rsidRPr="001F06D5" w:rsidRDefault="008C0624" w:rsidP="001F06D5">
      <w:pPr>
        <w:pStyle w:val="Listenabsatz"/>
        <w:numPr>
          <w:ilvl w:val="0"/>
          <w:numId w:val="4"/>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Entscheid abwarten.</w:t>
      </w:r>
    </w:p>
    <w:p w:rsidR="008C0624" w:rsidRPr="001F06D5" w:rsidRDefault="008C0624" w:rsidP="001F06D5">
      <w:pPr>
        <w:pStyle w:val="Listenabsatz"/>
        <w:numPr>
          <w:ilvl w:val="0"/>
          <w:numId w:val="4"/>
        </w:numPr>
        <w:autoSpaceDE w:val="0"/>
        <w:autoSpaceDN w:val="0"/>
        <w:adjustRightInd w:val="0"/>
        <w:spacing w:after="0" w:line="312" w:lineRule="auto"/>
        <w:ind w:left="567" w:hanging="567"/>
        <w:jc w:val="both"/>
        <w:rPr>
          <w:rFonts w:ascii="Verdana" w:hAnsi="Verdana" w:cs="Arial"/>
          <w:sz w:val="20"/>
          <w:szCs w:val="20"/>
        </w:rPr>
      </w:pPr>
      <w:r w:rsidRPr="001F06D5">
        <w:rPr>
          <w:rFonts w:ascii="Verdana" w:hAnsi="Verdana" w:cs="Arial"/>
          <w:sz w:val="20"/>
          <w:szCs w:val="20"/>
        </w:rPr>
        <w:t>Mitteilung an die betroffene Person und Abschluss des Geschäfts vornehmen.</w:t>
      </w:r>
    </w:p>
    <w:p w:rsidR="008C0624" w:rsidRPr="001F06D5" w:rsidRDefault="008C0624" w:rsidP="001F06D5">
      <w:pPr>
        <w:pStyle w:val="Listenabsatz"/>
        <w:numPr>
          <w:ilvl w:val="0"/>
          <w:numId w:val="4"/>
        </w:numPr>
        <w:spacing w:line="312" w:lineRule="auto"/>
        <w:ind w:left="567" w:hanging="567"/>
        <w:jc w:val="both"/>
        <w:rPr>
          <w:rFonts w:ascii="Verdana" w:hAnsi="Verdana" w:cs="Arial"/>
          <w:sz w:val="20"/>
          <w:szCs w:val="20"/>
        </w:rPr>
      </w:pPr>
      <w:r w:rsidRPr="001F06D5">
        <w:rPr>
          <w:rFonts w:ascii="Verdana" w:hAnsi="Verdana" w:cs="Arial"/>
          <w:sz w:val="20"/>
          <w:szCs w:val="20"/>
        </w:rPr>
        <w:t>Gegebenenfalls Mitteilung an KESB (z.B. zwecks Nachführung Vermögensregister).</w:t>
      </w:r>
    </w:p>
    <w:p w:rsidR="008C0624" w:rsidRPr="008C0624" w:rsidRDefault="008C0624" w:rsidP="001F06D5">
      <w:pPr>
        <w:spacing w:line="312" w:lineRule="auto"/>
        <w:jc w:val="both"/>
        <w:rPr>
          <w:rFonts w:ascii="Verdana" w:hAnsi="Verdana" w:cs="Arial"/>
          <w:sz w:val="20"/>
          <w:szCs w:val="20"/>
        </w:rPr>
      </w:pPr>
    </w:p>
    <w:p w:rsidR="008C0624" w:rsidRPr="008C0624" w:rsidRDefault="008C0624" w:rsidP="001F06D5">
      <w:pPr>
        <w:autoSpaceDE w:val="0"/>
        <w:autoSpaceDN w:val="0"/>
        <w:adjustRightInd w:val="0"/>
        <w:spacing w:after="0" w:line="312" w:lineRule="auto"/>
        <w:jc w:val="both"/>
        <w:rPr>
          <w:rFonts w:ascii="Verdana" w:hAnsi="Verdana" w:cs="Arial"/>
          <w:b/>
          <w:bCs/>
          <w:sz w:val="20"/>
          <w:szCs w:val="20"/>
        </w:rPr>
      </w:pPr>
      <w:r w:rsidRPr="008C0624">
        <w:rPr>
          <w:rFonts w:ascii="Verdana" w:hAnsi="Verdana" w:cs="Arial"/>
          <w:b/>
          <w:bCs/>
          <w:sz w:val="20"/>
          <w:szCs w:val="20"/>
        </w:rPr>
        <w:t>Gültigkeit des Geschäftes</w:t>
      </w:r>
    </w:p>
    <w:p w:rsidR="008C0624" w:rsidRPr="008C0624" w:rsidRDefault="008C0624" w:rsidP="001F06D5">
      <w:pPr>
        <w:autoSpaceDE w:val="0"/>
        <w:autoSpaceDN w:val="0"/>
        <w:adjustRightInd w:val="0"/>
        <w:spacing w:after="0" w:line="312" w:lineRule="auto"/>
        <w:jc w:val="both"/>
        <w:rPr>
          <w:rFonts w:ascii="Verdana" w:hAnsi="Verdana"/>
          <w:sz w:val="20"/>
          <w:szCs w:val="20"/>
        </w:rPr>
      </w:pPr>
      <w:r w:rsidRPr="008C0624">
        <w:rPr>
          <w:rFonts w:ascii="Verdana" w:hAnsi="Verdana" w:cs="Arial"/>
          <w:sz w:val="20"/>
          <w:szCs w:val="20"/>
        </w:rPr>
        <w:t>Ab dem Zeitpunkt der Rechtskraft der Zustimmung wird das Geschäft für die betreute Person</w:t>
      </w:r>
      <w:r>
        <w:rPr>
          <w:rFonts w:ascii="Verdana" w:hAnsi="Verdana" w:cs="Arial"/>
          <w:sz w:val="20"/>
          <w:szCs w:val="20"/>
        </w:rPr>
        <w:t xml:space="preserve"> </w:t>
      </w:r>
      <w:r w:rsidRPr="008C0624">
        <w:rPr>
          <w:rFonts w:ascii="Verdana" w:hAnsi="Verdana" w:cs="Arial"/>
          <w:sz w:val="20"/>
          <w:szCs w:val="20"/>
        </w:rPr>
        <w:t>rückwirkend ab (bedingtem) Vertragsabschluss verbindlich. Wird die Genehmigung nicht erteilt,</w:t>
      </w:r>
      <w:r>
        <w:rPr>
          <w:rFonts w:ascii="Verdana" w:hAnsi="Verdana" w:cs="Arial"/>
          <w:sz w:val="20"/>
          <w:szCs w:val="20"/>
        </w:rPr>
        <w:t xml:space="preserve"> </w:t>
      </w:r>
      <w:r w:rsidRPr="008C0624">
        <w:rPr>
          <w:rFonts w:ascii="Verdana" w:hAnsi="Verdana" w:cs="Arial"/>
          <w:sz w:val="20"/>
          <w:szCs w:val="20"/>
        </w:rPr>
        <w:t>fällt das Geschäft dahin (Art. 418 ZGB). Allenfalls schon bezogenen Leistungen können beide</w:t>
      </w:r>
      <w:r>
        <w:rPr>
          <w:rFonts w:ascii="Verdana" w:hAnsi="Verdana" w:cs="Arial"/>
          <w:sz w:val="20"/>
          <w:szCs w:val="20"/>
        </w:rPr>
        <w:t xml:space="preserve"> </w:t>
      </w:r>
      <w:r w:rsidRPr="008C0624">
        <w:rPr>
          <w:rFonts w:ascii="Verdana" w:hAnsi="Verdana" w:cs="Arial"/>
          <w:sz w:val="20"/>
          <w:szCs w:val="20"/>
        </w:rPr>
        <w:t>Seiten zurückfordern (Art. 62 ff. OR).</w:t>
      </w:r>
    </w:p>
    <w:sectPr w:rsidR="008C0624" w:rsidRPr="008C0624" w:rsidSect="004B490A">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24" w:rsidRDefault="008C0624" w:rsidP="00F54310">
      <w:pPr>
        <w:spacing w:after="0" w:line="240" w:lineRule="auto"/>
      </w:pPr>
      <w:r>
        <w:separator/>
      </w:r>
    </w:p>
  </w:endnote>
  <w:endnote w:type="continuationSeparator" w:id="0">
    <w:p w:rsidR="008C0624" w:rsidRDefault="008C0624" w:rsidP="00F5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24" w:rsidRDefault="008C0624" w:rsidP="00F54310">
      <w:pPr>
        <w:spacing w:after="0" w:line="240" w:lineRule="auto"/>
      </w:pPr>
      <w:r>
        <w:separator/>
      </w:r>
    </w:p>
  </w:footnote>
  <w:footnote w:type="continuationSeparator" w:id="0">
    <w:p w:rsidR="008C0624" w:rsidRDefault="008C0624" w:rsidP="00F5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F50"/>
    <w:multiLevelType w:val="hybridMultilevel"/>
    <w:tmpl w:val="0B400D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49840B0"/>
    <w:multiLevelType w:val="hybridMultilevel"/>
    <w:tmpl w:val="B1EA05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50A45E54"/>
    <w:multiLevelType w:val="hybridMultilevel"/>
    <w:tmpl w:val="1D4C60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C792915"/>
    <w:multiLevelType w:val="hybridMultilevel"/>
    <w:tmpl w:val="8C9CDE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24"/>
    <w:rsid w:val="000B0279"/>
    <w:rsid w:val="0017673B"/>
    <w:rsid w:val="001F06D5"/>
    <w:rsid w:val="003E51DB"/>
    <w:rsid w:val="00426E39"/>
    <w:rsid w:val="004B490A"/>
    <w:rsid w:val="00500C23"/>
    <w:rsid w:val="00723219"/>
    <w:rsid w:val="00886F82"/>
    <w:rsid w:val="008C0624"/>
    <w:rsid w:val="00926B95"/>
    <w:rsid w:val="009868F9"/>
    <w:rsid w:val="00B61639"/>
    <w:rsid w:val="00B7582B"/>
    <w:rsid w:val="00CE2FDC"/>
    <w:rsid w:val="00E712F5"/>
    <w:rsid w:val="00F54310"/>
    <w:rsid w:val="00F816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C0EBC-6761-4CA7-8E75-83C9D2B0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4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310"/>
    <w:rPr>
      <w:rFonts w:ascii="Tahoma" w:hAnsi="Tahoma" w:cs="Tahoma"/>
      <w:sz w:val="16"/>
      <w:szCs w:val="16"/>
    </w:rPr>
  </w:style>
  <w:style w:type="paragraph" w:styleId="Kopfzeile">
    <w:name w:val="header"/>
    <w:basedOn w:val="Standard"/>
    <w:link w:val="KopfzeileZchn"/>
    <w:uiPriority w:val="99"/>
    <w:unhideWhenUsed/>
    <w:rsid w:val="00F54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310"/>
  </w:style>
  <w:style w:type="paragraph" w:styleId="Fuzeile">
    <w:name w:val="footer"/>
    <w:basedOn w:val="Standard"/>
    <w:link w:val="FuzeileZchn"/>
    <w:uiPriority w:val="99"/>
    <w:unhideWhenUsed/>
    <w:rsid w:val="00F54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310"/>
  </w:style>
  <w:style w:type="paragraph" w:styleId="Listenabsatz">
    <w:name w:val="List Paragraph"/>
    <w:basedOn w:val="Standard"/>
    <w:uiPriority w:val="34"/>
    <w:qFormat/>
    <w:rsid w:val="001F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KESB\Titel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6EF1-BE21-46C4-A9C1-3DD489C0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Titelblatt.dotx</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Kohler</dc:creator>
  <cp:lastModifiedBy>Danielle Spiegelberg</cp:lastModifiedBy>
  <cp:revision>7</cp:revision>
  <dcterms:created xsi:type="dcterms:W3CDTF">2013-09-12T15:45:00Z</dcterms:created>
  <dcterms:modified xsi:type="dcterms:W3CDTF">2017-02-08T13:47:00Z</dcterms:modified>
</cp:coreProperties>
</file>